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E" w:rsidRPr="00CF51CE" w:rsidRDefault="003E4609" w:rsidP="00CF51CE">
      <w:pPr>
        <w:spacing w:after="0"/>
        <w:jc w:val="right"/>
        <w:rPr>
          <w:rFonts w:ascii="Times New Roman" w:eastAsiaTheme="majorEastAsia" w:hAnsi="Times New Roman" w:cs="Times New Roman"/>
          <w:bCs/>
          <w:i/>
          <w:sz w:val="24"/>
          <w:szCs w:val="24"/>
          <w:lang w:val="ru-RU"/>
        </w:rPr>
      </w:pPr>
      <w:r w:rsidRPr="00C75337">
        <w:rPr>
          <w:rFonts w:ascii="Times New Roman" w:eastAsia="Times New Roman" w:hAnsi="Times New Roman"/>
          <w:b/>
          <w:noProof/>
          <w:sz w:val="32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02D53F6" wp14:editId="35FACA6D">
            <wp:simplePos x="0" y="0"/>
            <wp:positionH relativeFrom="column">
              <wp:posOffset>4965754</wp:posOffset>
            </wp:positionH>
            <wp:positionV relativeFrom="paragraph">
              <wp:posOffset>-5526</wp:posOffset>
            </wp:positionV>
            <wp:extent cx="1400175" cy="1623060"/>
            <wp:effectExtent l="0" t="0" r="0" b="0"/>
            <wp:wrapNone/>
            <wp:docPr id="4" name="Рисунок 4" descr="D:\Desktop\лого ипс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лого ипси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09" w:rsidRDefault="003E4609" w:rsidP="00AD72FA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7DAD2C8" wp14:editId="20D535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7825" cy="1231749"/>
            <wp:effectExtent l="0" t="0" r="0" b="6985"/>
            <wp:wrapNone/>
            <wp:docPr id="2" name="Рисунок 2" descr="Картинки по запросу лого мфг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 мфг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2E61DB77" wp14:editId="7B2D3B98">
            <wp:extent cx="1955260" cy="1215108"/>
            <wp:effectExtent l="0" t="0" r="0" b="0"/>
            <wp:docPr id="1" name="Рисунок 1" descr="https://sun9-66.userapi.com/impf/c628630/v628630063/4e56/bTOyqq2OkUI.jpg?size=2560x1591&amp;quality=96&amp;sign=474bdd34ebd4ac8295c066f9749fbd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c628630/v628630063/4e56/bTOyqq2OkUI.jpg?size=2560x1591&amp;quality=96&amp;sign=474bdd34ebd4ac8295c066f9749fbd3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48" cy="12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09" w:rsidRDefault="003E4609" w:rsidP="00AD72FA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</w:p>
    <w:p w:rsidR="00AD72FA" w:rsidRPr="005E1E5C" w:rsidRDefault="005E1E5C" w:rsidP="00AD72FA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4"/>
          <w:lang w:val="ru-RU"/>
        </w:rPr>
      </w:pPr>
      <w:r w:rsidRPr="005E1E5C">
        <w:rPr>
          <w:rFonts w:ascii="Times New Roman" w:eastAsiaTheme="majorEastAsia" w:hAnsi="Times New Roman" w:cs="Times New Roman"/>
          <w:b/>
          <w:bCs/>
          <w:sz w:val="28"/>
          <w:szCs w:val="24"/>
          <w:lang w:val="ru-RU"/>
        </w:rPr>
        <w:t>Информационное письмо</w:t>
      </w:r>
    </w:p>
    <w:p w:rsidR="00396F83" w:rsidRPr="005E1E5C" w:rsidRDefault="00396F83" w:rsidP="00AD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E1E5C">
        <w:rPr>
          <w:rFonts w:ascii="Times New Roman" w:hAnsi="Times New Roman" w:cs="Times New Roman"/>
          <w:b/>
          <w:sz w:val="28"/>
          <w:szCs w:val="24"/>
          <w:lang w:val="ru-RU"/>
        </w:rPr>
        <w:t>Форум молодых лидеров</w:t>
      </w:r>
      <w:r w:rsidR="005E1E5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471B8B" w:rsidRPr="005E1E5C" w:rsidRDefault="00396F83" w:rsidP="00AD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E1E5C">
        <w:rPr>
          <w:rFonts w:ascii="Times New Roman" w:hAnsi="Times New Roman" w:cs="Times New Roman"/>
          <w:b/>
          <w:sz w:val="28"/>
          <w:szCs w:val="24"/>
          <w:lang w:val="ru-RU"/>
        </w:rPr>
        <w:t>«Межмуниципальное сотрудничество: новые горизонты»</w:t>
      </w:r>
    </w:p>
    <w:p w:rsidR="00396F83" w:rsidRPr="005E1E5C" w:rsidRDefault="00396F83" w:rsidP="00AD7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5E1E5C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2E53EF" w:rsidRPr="005E1E5C">
        <w:rPr>
          <w:rFonts w:ascii="Times New Roman" w:hAnsi="Times New Roman" w:cs="Times New Roman"/>
          <w:sz w:val="28"/>
          <w:szCs w:val="24"/>
          <w:lang w:val="ru-RU"/>
        </w:rPr>
        <w:t>5</w:t>
      </w:r>
      <w:r w:rsidRPr="005E1E5C">
        <w:rPr>
          <w:rFonts w:ascii="Times New Roman" w:hAnsi="Times New Roman" w:cs="Times New Roman"/>
          <w:sz w:val="28"/>
          <w:szCs w:val="24"/>
          <w:lang w:val="ru-RU"/>
        </w:rPr>
        <w:t>.0</w:t>
      </w:r>
      <w:r w:rsidR="002E53EF" w:rsidRPr="005E1E5C">
        <w:rPr>
          <w:rFonts w:ascii="Times New Roman" w:hAnsi="Times New Roman" w:cs="Times New Roman"/>
          <w:sz w:val="28"/>
          <w:szCs w:val="24"/>
          <w:lang w:val="ru-RU"/>
        </w:rPr>
        <w:t>5</w:t>
      </w:r>
      <w:r w:rsidRPr="005E1E5C">
        <w:rPr>
          <w:rFonts w:ascii="Times New Roman" w:hAnsi="Times New Roman" w:cs="Times New Roman"/>
          <w:sz w:val="28"/>
          <w:szCs w:val="24"/>
          <w:lang w:val="ru-RU"/>
        </w:rPr>
        <w:t>.20</w:t>
      </w:r>
      <w:r w:rsidR="002E53EF" w:rsidRPr="005E1E5C">
        <w:rPr>
          <w:rFonts w:ascii="Times New Roman" w:hAnsi="Times New Roman" w:cs="Times New Roman"/>
          <w:sz w:val="28"/>
          <w:szCs w:val="24"/>
          <w:lang w:val="ru-RU"/>
        </w:rPr>
        <w:t>21</w:t>
      </w:r>
      <w:r w:rsidRPr="005E1E5C">
        <w:rPr>
          <w:rFonts w:ascii="Times New Roman" w:hAnsi="Times New Roman" w:cs="Times New Roman"/>
          <w:sz w:val="28"/>
          <w:szCs w:val="24"/>
          <w:lang w:val="ru-RU"/>
        </w:rPr>
        <w:t xml:space="preserve"> – 27.0</w:t>
      </w:r>
      <w:r w:rsidR="002E53EF" w:rsidRPr="005E1E5C">
        <w:rPr>
          <w:rFonts w:ascii="Times New Roman" w:hAnsi="Times New Roman" w:cs="Times New Roman"/>
          <w:sz w:val="28"/>
          <w:szCs w:val="24"/>
          <w:lang w:val="ru-RU"/>
        </w:rPr>
        <w:t>5</w:t>
      </w:r>
      <w:r w:rsidRPr="005E1E5C">
        <w:rPr>
          <w:rFonts w:ascii="Times New Roman" w:hAnsi="Times New Roman" w:cs="Times New Roman"/>
          <w:sz w:val="28"/>
          <w:szCs w:val="24"/>
          <w:lang w:val="ru-RU"/>
        </w:rPr>
        <w:t>.20</w:t>
      </w:r>
      <w:r w:rsidR="002E53EF" w:rsidRPr="005E1E5C">
        <w:rPr>
          <w:rFonts w:ascii="Times New Roman" w:hAnsi="Times New Roman" w:cs="Times New Roman"/>
          <w:sz w:val="28"/>
          <w:szCs w:val="24"/>
          <w:lang w:val="ru-RU"/>
        </w:rPr>
        <w:t>21</w:t>
      </w:r>
    </w:p>
    <w:p w:rsidR="00396F83" w:rsidRPr="005E1E5C" w:rsidRDefault="002E53EF" w:rsidP="00AD72F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val="ru-RU"/>
        </w:rPr>
      </w:pPr>
      <w:r w:rsidRPr="005E1E5C">
        <w:rPr>
          <w:rFonts w:ascii="Times New Roman" w:hAnsi="Times New Roman" w:cs="Times New Roman"/>
          <w:i/>
          <w:szCs w:val="24"/>
          <w:lang w:val="ru-RU"/>
        </w:rPr>
        <w:t xml:space="preserve">Пространство коллективно работы «Точка кипения </w:t>
      </w:r>
      <w:r w:rsidR="000C442B" w:rsidRPr="005E1E5C">
        <w:rPr>
          <w:rFonts w:ascii="Times New Roman" w:hAnsi="Times New Roman" w:cs="Times New Roman"/>
          <w:i/>
          <w:szCs w:val="24"/>
          <w:lang w:val="ru-RU"/>
        </w:rPr>
        <w:t>«</w:t>
      </w:r>
      <w:r w:rsidRPr="005E1E5C">
        <w:rPr>
          <w:rFonts w:ascii="Times New Roman" w:hAnsi="Times New Roman" w:cs="Times New Roman"/>
          <w:i/>
          <w:szCs w:val="24"/>
          <w:lang w:val="ru-RU"/>
        </w:rPr>
        <w:t>Белгород»</w:t>
      </w:r>
      <w:r w:rsidR="000C442B" w:rsidRPr="005E1E5C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396F83" w:rsidRPr="005E1E5C">
        <w:rPr>
          <w:rFonts w:ascii="Times New Roman" w:hAnsi="Times New Roman" w:cs="Times New Roman"/>
          <w:i/>
          <w:szCs w:val="24"/>
          <w:lang w:val="ru-RU"/>
        </w:rPr>
        <w:t xml:space="preserve">Россия, Белгородская область, </w:t>
      </w:r>
      <w:r w:rsidRPr="005E1E5C">
        <w:rPr>
          <w:rFonts w:ascii="Times New Roman" w:hAnsi="Times New Roman" w:cs="Times New Roman"/>
          <w:i/>
          <w:szCs w:val="24"/>
          <w:lang w:val="ru-RU"/>
        </w:rPr>
        <w:t>г. Белгород, ул. Победы, д. 85, корп.17.</w:t>
      </w:r>
    </w:p>
    <w:p w:rsidR="003E4609" w:rsidRPr="00396F83" w:rsidRDefault="003E4609" w:rsidP="00AD72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val="ru-RU"/>
        </w:rPr>
      </w:pP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25-27 мая 2021 года в городе Белгороде на площадке "Точка Кипения" состоится Форум молодых лидеров «Межмуниципальное сотрудничество: новые горизонты». Мероприятие организовано Институтом приграничного сотрудничества и интеграции при поддержке Межгосударственного фонда гуманитарного сотрудничества государств-участников СНГ.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привлечение молодых лидеров к процессу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межмуниципального сотрудничества на территории государств-участников СНГ.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форуме примут участие молоды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лидеров и 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России, Украины, Белоруссии, Молдовы, Армении и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стран СНГ. В том числе: лидеры молодежных общественных организаций, главы молодежных советов территорий и т.д.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рамках форума запланированы: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открытые лекции (межмуниципальное сотрудничество стран СНГ, мировые подходы к межмуниципальному сотрудничеству, публичная дипломатия, участие муниципалитетов в международных отношениях, проектное управление в приграничном сотрудничестве);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различные тематические секции (опыт межмуниципального сотрудничества стран СНГ, перспективы развития межмуниципального сотрудничества государств-участников СНГ, применение публичной дипломатии в рамках муниципального сотрудничества)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круглые столы (актуальные проблемы межмуниципального сотрудничества, направления развития и пути решения проблем межмуниципального сотрудничества стран СНГ)</w:t>
      </w:r>
    </w:p>
    <w:p w:rsid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тренинги (эффективное проектное управление, инициация и реализация проектов межмуниципального сотрудничества).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Форум будет проходить в течении 3 дней.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результатам мероприятия планируется создание инициативных групп по вопросам межмуниципального сотрудничества.</w:t>
      </w:r>
    </w:p>
    <w:p w:rsid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Приглашаем Вас и Ваших коллег принять участие в Форуме!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E1E5C" w:rsidRPr="005E1E5C" w:rsidRDefault="005E1E5C" w:rsidP="005E1E5C">
      <w:pPr>
        <w:shd w:val="clear" w:color="auto" w:fill="FFFFFF"/>
        <w:spacing w:after="0" w:line="36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Контакты организационного комитета:</w:t>
      </w:r>
    </w:p>
    <w:p w:rsidR="005E1E5C" w:rsidRPr="005E1E5C" w:rsidRDefault="005E1E5C" w:rsidP="005E1E5C">
      <w:pPr>
        <w:shd w:val="clear" w:color="auto" w:fill="FFFFFF"/>
        <w:spacing w:after="0" w:line="36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E-mail</w:t>
      </w:r>
      <w:r w:rsidRPr="005E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: </w:t>
      </w:r>
      <w:hyperlink r:id="rId10" w:history="1">
        <w:r w:rsidRPr="005E1E5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 w:eastAsia="ru-RU"/>
          </w:rPr>
          <w:t>org@icbci.info</w:t>
        </w:r>
      </w:hyperlink>
    </w:p>
    <w:p w:rsidR="005E1E5C" w:rsidRPr="005E1E5C" w:rsidRDefault="005E1E5C" w:rsidP="005E1E5C">
      <w:pPr>
        <w:shd w:val="clear" w:color="auto" w:fill="FFFFFF"/>
        <w:spacing w:after="0" w:line="36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E1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Тел.: +7-961-174-24-99</w:t>
      </w:r>
    </w:p>
    <w:p w:rsidR="00AD72FA" w:rsidRDefault="00AD72FA" w:rsidP="005E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5C" w:rsidRDefault="005E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E5C" w:rsidRPr="0007743B" w:rsidRDefault="005E1E5C" w:rsidP="005E1E5C">
      <w:pPr>
        <w:tabs>
          <w:tab w:val="center" w:pos="4620"/>
          <w:tab w:val="right" w:pos="10357"/>
        </w:tabs>
        <w:spacing w:after="0" w:line="360" w:lineRule="auto"/>
        <w:jc w:val="right"/>
      </w:pPr>
      <w:r w:rsidRPr="00735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E1E5C" w:rsidRDefault="005E1E5C" w:rsidP="005E1E5C">
      <w:pPr>
        <w:spacing w:after="4" w:line="360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Форума молодых лидеров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приглашаем Вас принять участие в </w:t>
      </w:r>
      <w:r w:rsidRPr="00676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подготовке сборника научных трудов по итогам мероприятия.</w:t>
      </w:r>
    </w:p>
    <w:p w:rsidR="005E1E5C" w:rsidRPr="00D04433" w:rsidRDefault="005E1E5C" w:rsidP="005E1E5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62C1D8" wp14:editId="1FB33817">
                <wp:simplePos x="0" y="0"/>
                <wp:positionH relativeFrom="page">
                  <wp:posOffset>762305</wp:posOffset>
                </wp:positionH>
                <wp:positionV relativeFrom="page">
                  <wp:posOffset>10671353</wp:posOffset>
                </wp:positionV>
                <wp:extent cx="31687" cy="142810"/>
                <wp:effectExtent l="0" t="0" r="0" b="0"/>
                <wp:wrapTopAndBottom/>
                <wp:docPr id="4439" name="Group 4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329" name="Rectangle 3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E5C" w:rsidRDefault="005E1E5C" w:rsidP="005E1E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2C1D8" id="Group 4439" o:spid="_x0000_s1026" style="position:absolute;left:0;text-align:left;margin-left:60pt;margin-top:840.25pt;width:2.5pt;height:11.25pt;z-index:251663360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">
                <v:rect id="Rectangle 329" o:spid="_x0000_s1027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5E1E5C" w:rsidRDefault="005E1E5C" w:rsidP="005E1E5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044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7B7BCF" wp14:editId="5149898B">
                <wp:simplePos x="0" y="0"/>
                <wp:positionH relativeFrom="page">
                  <wp:posOffset>794309</wp:posOffset>
                </wp:positionH>
                <wp:positionV relativeFrom="page">
                  <wp:posOffset>10671353</wp:posOffset>
                </wp:positionV>
                <wp:extent cx="31687" cy="142810"/>
                <wp:effectExtent l="0" t="0" r="0" b="0"/>
                <wp:wrapTopAndBottom/>
                <wp:docPr id="4440" name="Group 4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330" name="Rectangle 330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1E5C" w:rsidRDefault="005E1E5C" w:rsidP="005E1E5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B7BCF" id="Group 4440" o:spid="_x0000_s1028" style="position:absolute;left:0;text-align:left;margin-left:62.55pt;margin-top:840.25pt;width:2.5pt;height:11.25pt;z-index:251664384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">
                <v:rect id="Rectangle 330" o:spid="_x0000_s1029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5E1E5C" w:rsidRDefault="005E1E5C" w:rsidP="005E1E5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04433">
        <w:rPr>
          <w:rFonts w:ascii="Times New Roman" w:hAnsi="Times New Roman" w:cs="Times New Roman"/>
          <w:b/>
          <w:sz w:val="28"/>
          <w:szCs w:val="28"/>
        </w:rPr>
        <w:t xml:space="preserve">К публикации принимаются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тезисы и </w:t>
      </w:r>
      <w:r w:rsidRPr="00D04433">
        <w:rPr>
          <w:rFonts w:ascii="Times New Roman" w:hAnsi="Times New Roman" w:cs="Times New Roman"/>
          <w:b/>
          <w:sz w:val="28"/>
          <w:szCs w:val="28"/>
        </w:rPr>
        <w:t xml:space="preserve">полнотекстовые статьи. </w:t>
      </w:r>
      <w:r w:rsidRPr="00D04433">
        <w:rPr>
          <w:rFonts w:ascii="Times New Roman" w:hAnsi="Times New Roman" w:cs="Times New Roman"/>
          <w:sz w:val="28"/>
          <w:szCs w:val="28"/>
        </w:rPr>
        <w:t>Объем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от 6000 до 12000 знаков (4-12 страниц)</w:t>
      </w:r>
      <w:r w:rsidRPr="00D0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тезисов и</w:t>
      </w:r>
      <w:r w:rsidRPr="00D04433">
        <w:rPr>
          <w:rFonts w:ascii="Times New Roman" w:hAnsi="Times New Roman" w:cs="Times New Roman"/>
          <w:sz w:val="28"/>
          <w:szCs w:val="28"/>
        </w:rPr>
        <w:t xml:space="preserve"> от 20000 до 40000 знаков (</w:t>
      </w:r>
      <w:r>
        <w:rPr>
          <w:rFonts w:ascii="Times New Roman" w:hAnsi="Times New Roman" w:cs="Times New Roman"/>
          <w:sz w:val="28"/>
          <w:szCs w:val="28"/>
        </w:rPr>
        <w:t>12-20 страниц</w:t>
      </w:r>
      <w:r w:rsidRPr="00D044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полнотекстовых статей</w:t>
      </w:r>
      <w:r w:rsidRPr="00D04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E5C" w:rsidRPr="00D04433" w:rsidRDefault="005E1E5C" w:rsidP="005E1E5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3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оформлению: </w:t>
      </w:r>
      <w:r w:rsidRPr="00D04433">
        <w:rPr>
          <w:rFonts w:ascii="Times New Roman" w:hAnsi="Times New Roman" w:cs="Times New Roman"/>
          <w:sz w:val="28"/>
          <w:szCs w:val="28"/>
        </w:rPr>
        <w:t xml:space="preserve">Электронный вариант статьи присылается в виде текстового файла, имя которого должно соответствовать фамилии автора. Шрифт - Times New Roman; размер шрифта - 14; отступ верхнее, нижнее - 2 см, правое -1,5 см, левое - 3 см; интервал между строками - 1,5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- 1 пустая строка на компьютере; сноски автоматические, постраничные; в конце список литературы. Пример оформления статьи представлен в </w:t>
      </w:r>
      <w:r w:rsidRPr="00D04433">
        <w:rPr>
          <w:rFonts w:ascii="Times New Roman" w:hAnsi="Times New Roman" w:cs="Times New Roman"/>
          <w:b/>
          <w:sz w:val="28"/>
          <w:szCs w:val="28"/>
        </w:rPr>
        <w:t>Приложении 2.</w:t>
      </w:r>
      <w:r w:rsidRPr="00D044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E5C" w:rsidRDefault="005E1E5C" w:rsidP="005E1E5C">
      <w:pPr>
        <w:tabs>
          <w:tab w:val="center" w:pos="1783"/>
          <w:tab w:val="center" w:pos="2206"/>
          <w:tab w:val="center" w:pos="8809"/>
        </w:tabs>
        <w:spacing w:after="6"/>
      </w:pPr>
    </w:p>
    <w:p w:rsidR="005E1E5C" w:rsidRDefault="005E1E5C" w:rsidP="005E1E5C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E1E5C" w:rsidRPr="00735B39" w:rsidRDefault="005E1E5C" w:rsidP="005E1E5C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sz w:val="28"/>
          <w:szCs w:val="28"/>
        </w:rPr>
      </w:pPr>
      <w:r w:rsidRPr="00735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E1E5C" w:rsidRDefault="005E1E5C" w:rsidP="005E1E5C">
      <w:pPr>
        <w:spacing w:after="299" w:line="251" w:lineRule="auto"/>
        <w:ind w:left="725" w:right="1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УДК 316.73 </w:t>
      </w:r>
      <w:r>
        <w:t xml:space="preserve"> </w:t>
      </w:r>
    </w:p>
    <w:p w:rsidR="005E1E5C" w:rsidRDefault="005E1E5C" w:rsidP="005E1E5C">
      <w:pPr>
        <w:spacing w:after="6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СОЦИОКУЛЬТУРНАЯ СПЕЦИФИКА ТРАНСФОРМАЦИИ МОДЕЛЕЙ РОССИЙСКО-</w:t>
      </w:r>
    </w:p>
    <w:p w:rsidR="005E1E5C" w:rsidRDefault="005E1E5C" w:rsidP="005E1E5C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УКРАИНСКОГО ПРИГРАНИЧНОГО ВЗАИМОДЕЙСТВИЯ В ПОСТСОВЕТСКОМ</w:t>
      </w:r>
    </w:p>
    <w:p w:rsidR="005E1E5C" w:rsidRDefault="005E1E5C" w:rsidP="005E1E5C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ХРОНОТОПЕ</w:t>
      </w:r>
    </w:p>
    <w:p w:rsidR="005E1E5C" w:rsidRDefault="005E1E5C" w:rsidP="005E1E5C">
      <w:pPr>
        <w:spacing w:after="0"/>
        <w:ind w:right="17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Сапрыка В.А.  </w:t>
      </w:r>
      <w:r>
        <w:t xml:space="preserve"> </w:t>
      </w:r>
    </w:p>
    <w:p w:rsidR="005E1E5C" w:rsidRDefault="005E1E5C" w:rsidP="005E1E5C">
      <w:pPr>
        <w:spacing w:after="5"/>
        <w:ind w:left="10" w:right="14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д.с.н., заведующий кафедрой социальных </w:t>
      </w:r>
    </w:p>
    <w:p w:rsidR="005E1E5C" w:rsidRDefault="005E1E5C" w:rsidP="005E1E5C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>технологий и государственной службы</w:t>
      </w:r>
      <w:r>
        <w:t xml:space="preserve"> </w:t>
      </w:r>
    </w:p>
    <w:p w:rsidR="005E1E5C" w:rsidRDefault="005E1E5C" w:rsidP="005E1E5C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НИУ «БелГУ» </w:t>
      </w:r>
      <w:r>
        <w:t xml:space="preserve"> </w:t>
      </w:r>
    </w:p>
    <w:p w:rsidR="005E1E5C" w:rsidRDefault="005E1E5C" w:rsidP="005E1E5C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Россия, г. Белгород </w:t>
      </w:r>
      <w:r>
        <w:t xml:space="preserve"> </w:t>
      </w:r>
    </w:p>
    <w:p w:rsidR="005E1E5C" w:rsidRDefault="005E1E5C" w:rsidP="005E1E5C">
      <w:pPr>
        <w:spacing w:after="78"/>
      </w:pPr>
    </w:p>
    <w:p w:rsidR="005E1E5C" w:rsidRDefault="005E1E5C" w:rsidP="005E1E5C">
      <w:pPr>
        <w:spacing w:after="6" w:line="254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Аннотация.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статье рассматриваются социокультурные аспекты трансформации моделей российско-украинского приграничного взаимодействия. Дается авторское определение трансформации моделей приграничного взаимодействия. На основании проведенного анализа предлагается периодизация процессов трансформации моделей приграничного взаимодействия в постсоветском хронотопе. Выделены основные модели приграничного взаимодействия характерные для российско-украинского приграничья в настоящее время, а также раскрыты их ключевые признаки с позиции социокультурных изменений. </w:t>
      </w:r>
      <w:r>
        <w:t xml:space="preserve"> </w:t>
      </w:r>
    </w:p>
    <w:p w:rsidR="005E1E5C" w:rsidRDefault="005E1E5C" w:rsidP="005E1E5C">
      <w:pPr>
        <w:spacing w:after="6" w:line="254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sz w:val="24"/>
        </w:rPr>
        <w:t xml:space="preserve">социальные трансформации, приграничное взаимодействие, социокультурные связи, social transformation, cross-border cooperation, socio-cultural communication. </w:t>
      </w:r>
      <w:r>
        <w:t xml:space="preserve"> </w:t>
      </w:r>
    </w:p>
    <w:p w:rsidR="005E1E5C" w:rsidRDefault="005E1E5C" w:rsidP="005E1E5C">
      <w:pPr>
        <w:spacing w:after="11"/>
        <w:ind w:left="7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5E1E5C" w:rsidRPr="0051394C" w:rsidRDefault="005E1E5C" w:rsidP="005E1E5C">
      <w:pPr>
        <w:spacing w:after="5"/>
        <w:ind w:left="10" w:right="245" w:hanging="10"/>
        <w:jc w:val="right"/>
        <w:rPr>
          <w:lang w:val="en-US"/>
        </w:rPr>
      </w:pPr>
      <w:r w:rsidRPr="0051394C">
        <w:rPr>
          <w:rFonts w:ascii="Times New Roman" w:eastAsia="Times New Roman" w:hAnsi="Times New Roman" w:cs="Times New Roman"/>
          <w:b/>
          <w:sz w:val="24"/>
          <w:lang w:val="en-US"/>
        </w:rPr>
        <w:t xml:space="preserve">SOCIOCULTURAL SPECIFICITY OF TRANSFORMATION OF MODELS OF THE </w:t>
      </w:r>
      <w:r w:rsidRPr="0051394C">
        <w:rPr>
          <w:lang w:val="en-US"/>
        </w:rPr>
        <w:t xml:space="preserve"> </w:t>
      </w:r>
    </w:p>
    <w:p w:rsidR="005E1E5C" w:rsidRPr="0051394C" w:rsidRDefault="005E1E5C" w:rsidP="005E1E5C">
      <w:pPr>
        <w:spacing w:after="6"/>
        <w:ind w:left="56" w:hanging="10"/>
        <w:rPr>
          <w:lang w:val="en-US"/>
        </w:rPr>
      </w:pPr>
      <w:r w:rsidRPr="0051394C">
        <w:rPr>
          <w:rFonts w:ascii="Times New Roman" w:eastAsia="Times New Roman" w:hAnsi="Times New Roman" w:cs="Times New Roman"/>
          <w:b/>
          <w:sz w:val="24"/>
          <w:lang w:val="en-US"/>
        </w:rPr>
        <w:t xml:space="preserve">RUSSIAN-UKRAINIAN BORDER INTERACTION IN THE POST-SOVIET CHRONOTOPE </w:t>
      </w:r>
      <w:r w:rsidRPr="0051394C">
        <w:rPr>
          <w:lang w:val="en-US"/>
        </w:rPr>
        <w:t xml:space="preserve"> </w:t>
      </w:r>
    </w:p>
    <w:p w:rsidR="005E1E5C" w:rsidRPr="0051394C" w:rsidRDefault="005E1E5C" w:rsidP="005E1E5C">
      <w:pPr>
        <w:spacing w:after="6"/>
        <w:ind w:left="720"/>
        <w:jc w:val="center"/>
        <w:rPr>
          <w:lang w:val="en-US"/>
        </w:rPr>
      </w:pP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1394C">
        <w:rPr>
          <w:lang w:val="en-US"/>
        </w:rPr>
        <w:t xml:space="preserve"> </w:t>
      </w:r>
    </w:p>
    <w:p w:rsidR="005E1E5C" w:rsidRPr="00D04433" w:rsidRDefault="005E1E5C" w:rsidP="005E1E5C">
      <w:pPr>
        <w:spacing w:after="6" w:line="254" w:lineRule="auto"/>
        <w:ind w:left="-1" w:right="147" w:firstLine="691"/>
        <w:jc w:val="both"/>
        <w:rPr>
          <w:lang w:val="en-US"/>
        </w:rPr>
      </w:pPr>
      <w:r w:rsidRPr="0051394C">
        <w:rPr>
          <w:rFonts w:ascii="Times New Roman" w:eastAsia="Times New Roman" w:hAnsi="Times New Roman" w:cs="Times New Roman"/>
          <w:b/>
          <w:i/>
          <w:sz w:val="24"/>
          <w:lang w:val="en-US"/>
        </w:rPr>
        <w:t>Abstract.</w:t>
      </w:r>
      <w:r w:rsidRPr="0051394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>The article deals with the socio-cultural aspects of the transformation of models of Russian-Ukrainian cross-border interaction. The author's definition of transformation of models of frontier interaction is given. On the basis of the analysis, periodization of the processes of transformation of models of cross-border interaction in the post-Soviet chronotope is proposed. The main models of cross-border interaction characteristic for the Russian-</w:t>
      </w:r>
      <w:r w:rsidRPr="00D04433">
        <w:rPr>
          <w:lang w:val="en-US"/>
        </w:rPr>
        <w:t xml:space="preserve"> 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 xml:space="preserve">Ukrainian borderland are identified at the present time, and their key features are revealed from the position of socio-cultural changes. </w:t>
      </w:r>
      <w:r w:rsidRPr="0051394C">
        <w:rPr>
          <w:lang w:val="en-US"/>
        </w:rPr>
        <w:t xml:space="preserve"> </w:t>
      </w:r>
    </w:p>
    <w:p w:rsidR="005E1E5C" w:rsidRPr="00D04433" w:rsidRDefault="005E1E5C" w:rsidP="005E1E5C">
      <w:pPr>
        <w:spacing w:after="6" w:line="254" w:lineRule="auto"/>
        <w:ind w:left="-1" w:right="147" w:firstLine="691"/>
        <w:jc w:val="both"/>
        <w:rPr>
          <w:lang w:val="en-US"/>
        </w:rPr>
      </w:pPr>
      <w:r w:rsidRPr="0051394C">
        <w:rPr>
          <w:rFonts w:ascii="Times New Roman" w:eastAsia="Times New Roman" w:hAnsi="Times New Roman" w:cs="Times New Roman"/>
          <w:b/>
          <w:i/>
          <w:sz w:val="24"/>
          <w:lang w:val="en-US"/>
        </w:rPr>
        <w:t>Keywords :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 xml:space="preserve"> social transformations, cross-border interaction, sociocultural ties, social transformation, cross-border cooperation, socio-cultural communication. </w:t>
      </w:r>
      <w:r w:rsidRPr="0051394C">
        <w:rPr>
          <w:lang w:val="en-US"/>
        </w:rPr>
        <w:t xml:space="preserve"> </w:t>
      </w:r>
    </w:p>
    <w:p w:rsidR="005E1E5C" w:rsidRPr="00D04433" w:rsidRDefault="005E1E5C" w:rsidP="005E1E5C">
      <w:pPr>
        <w:spacing w:after="49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5E1E5C" w:rsidRDefault="005E1E5C" w:rsidP="005E1E5C">
      <w:pPr>
        <w:spacing w:after="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литературы.</w:t>
      </w:r>
    </w:p>
    <w:p w:rsidR="005E1E5C" w:rsidRDefault="005E1E5C" w:rsidP="005E1E5C">
      <w:pPr>
        <w:numPr>
          <w:ilvl w:val="0"/>
          <w:numId w:val="1"/>
        </w:numPr>
        <w:spacing w:after="77" w:line="254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Колосов В.А., Вендина О.И. 2011. </w:t>
      </w:r>
      <w:r>
        <w:rPr>
          <w:rFonts w:ascii="Times New Roman" w:eastAsia="Times New Roman" w:hAnsi="Times New Roman" w:cs="Times New Roman"/>
          <w:i/>
          <w:sz w:val="24"/>
        </w:rPr>
        <w:t>Российско-Украинское пограничье: двадцать лет разделенного единства.</w:t>
      </w:r>
      <w:r>
        <w:rPr>
          <w:rFonts w:ascii="Times New Roman" w:eastAsia="Times New Roman" w:hAnsi="Times New Roman" w:cs="Times New Roman"/>
          <w:sz w:val="24"/>
        </w:rPr>
        <w:t xml:space="preserve"> М.: Новый хронограф. 352 c. </w:t>
      </w:r>
      <w:r>
        <w:t xml:space="preserve"> </w:t>
      </w:r>
    </w:p>
    <w:p w:rsidR="005E1E5C" w:rsidRDefault="005E1E5C" w:rsidP="005E1E5C">
      <w:pPr>
        <w:numPr>
          <w:ilvl w:val="0"/>
          <w:numId w:val="1"/>
        </w:numPr>
        <w:spacing w:after="80" w:line="251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Бубенко П.Т., Сапрыка В.А., Гайдукова Г.Н. 2014.  Социологический анализ проблем и перспектив российско-украинского приграничного и межрегионального сотрудничества. – </w:t>
      </w:r>
      <w:r>
        <w:rPr>
          <w:rFonts w:ascii="Times New Roman" w:eastAsia="Times New Roman" w:hAnsi="Times New Roman" w:cs="Times New Roman"/>
          <w:i/>
          <w:sz w:val="24"/>
        </w:rPr>
        <w:t>Фундаментальные исследования.</w:t>
      </w:r>
      <w:r>
        <w:rPr>
          <w:rFonts w:ascii="Times New Roman" w:eastAsia="Times New Roman" w:hAnsi="Times New Roman" w:cs="Times New Roman"/>
          <w:sz w:val="24"/>
        </w:rPr>
        <w:t xml:space="preserve"> № 6-5. С. 1078-1082. </w:t>
      </w:r>
      <w:r>
        <w:t xml:space="preserve"> </w:t>
      </w:r>
    </w:p>
    <w:p w:rsidR="005E1E5C" w:rsidRPr="00F81207" w:rsidRDefault="005E1E5C" w:rsidP="005E1E5C">
      <w:pPr>
        <w:numPr>
          <w:ilvl w:val="0"/>
          <w:numId w:val="1"/>
        </w:numPr>
        <w:spacing w:after="34" w:line="259" w:lineRule="auto"/>
        <w:ind w:right="147"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Вардомский Л.Б. 2004. Новые факторы приграничного сотрудничества стран СНГ.– </w:t>
      </w:r>
      <w:r>
        <w:rPr>
          <w:rFonts w:ascii="Times New Roman" w:eastAsia="Times New Roman" w:hAnsi="Times New Roman" w:cs="Times New Roman"/>
          <w:i/>
          <w:sz w:val="24"/>
        </w:rPr>
        <w:t>Конкурентоспособность и модернизация экономики.</w:t>
      </w:r>
      <w:r>
        <w:rPr>
          <w:rFonts w:ascii="Times New Roman" w:eastAsia="Times New Roman" w:hAnsi="Times New Roman" w:cs="Times New Roman"/>
          <w:sz w:val="24"/>
        </w:rPr>
        <w:t xml:space="preserve"> С. 263-274. </w:t>
      </w:r>
      <w:r>
        <w:t xml:space="preserve"> </w:t>
      </w:r>
    </w:p>
    <w:p w:rsidR="005E1E5C" w:rsidRDefault="005E1E5C" w:rsidP="005E1E5C">
      <w:pPr>
        <w:numPr>
          <w:ilvl w:val="0"/>
          <w:numId w:val="2"/>
        </w:numPr>
        <w:spacing w:after="78" w:line="251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Сапрыка В.А. 2017. Социокультурная специфика трансформации моделей российско-украинского приграничного взаимодействия в постсоветском хронотопе. – </w:t>
      </w:r>
      <w:r>
        <w:rPr>
          <w:rFonts w:ascii="Times New Roman" w:eastAsia="Times New Roman" w:hAnsi="Times New Roman" w:cs="Times New Roman"/>
          <w:i/>
          <w:sz w:val="24"/>
        </w:rPr>
        <w:t>Этносоциум и межнациональная культура.</w:t>
      </w:r>
      <w:r>
        <w:rPr>
          <w:rFonts w:ascii="Times New Roman" w:eastAsia="Times New Roman" w:hAnsi="Times New Roman" w:cs="Times New Roman"/>
          <w:sz w:val="24"/>
        </w:rPr>
        <w:t xml:space="preserve"> № 1(103). C. 152-155. </w:t>
      </w:r>
      <w:r>
        <w:t xml:space="preserve"> </w:t>
      </w:r>
    </w:p>
    <w:p w:rsidR="005E1E5C" w:rsidRDefault="005E1E5C" w:rsidP="005E1E5C">
      <w:pPr>
        <w:numPr>
          <w:ilvl w:val="0"/>
          <w:numId w:val="2"/>
        </w:numPr>
        <w:spacing w:after="11" w:line="251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Тернер В. 1983. </w:t>
      </w:r>
      <w:r>
        <w:rPr>
          <w:rFonts w:ascii="Times New Roman" w:eastAsia="Times New Roman" w:hAnsi="Times New Roman" w:cs="Times New Roman"/>
          <w:i/>
          <w:sz w:val="24"/>
        </w:rPr>
        <w:t>Символ и ритуал.</w:t>
      </w:r>
      <w:r>
        <w:rPr>
          <w:rFonts w:ascii="Times New Roman" w:eastAsia="Times New Roman" w:hAnsi="Times New Roman" w:cs="Times New Roman"/>
          <w:sz w:val="24"/>
        </w:rPr>
        <w:t xml:space="preserve"> М.: Наука. 277 с.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t xml:space="preserve"> </w:t>
      </w:r>
    </w:p>
    <w:p w:rsidR="005E1E5C" w:rsidRDefault="005E1E5C" w:rsidP="005E1E5C">
      <w:pPr>
        <w:numPr>
          <w:ilvl w:val="0"/>
          <w:numId w:val="2"/>
        </w:numPr>
        <w:spacing w:after="91" w:line="251" w:lineRule="auto"/>
        <w:ind w:right="147" w:firstLine="705"/>
        <w:jc w:val="both"/>
      </w:pPr>
      <w:r w:rsidRPr="0051394C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Turner V. 1969. 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 Harmondsworth: Penguin Books. </w:t>
      </w:r>
      <w:r>
        <w:rPr>
          <w:rFonts w:ascii="Times New Roman" w:eastAsia="Times New Roman" w:hAnsi="Times New Roman" w:cs="Times New Roman"/>
          <w:sz w:val="24"/>
        </w:rPr>
        <w:t xml:space="preserve">277 p.  </w:t>
      </w:r>
      <w:r>
        <w:t xml:space="preserve"> </w:t>
      </w:r>
    </w:p>
    <w:p w:rsidR="005E1E5C" w:rsidRDefault="005E1E5C" w:rsidP="005E1E5C">
      <w:pPr>
        <w:numPr>
          <w:ilvl w:val="0"/>
          <w:numId w:val="2"/>
        </w:numPr>
        <w:spacing w:after="74" w:line="254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Сапрыка В.А.   2015. Модель приграничного взаимодействия как социальный институт.  – </w:t>
      </w:r>
      <w:r>
        <w:rPr>
          <w:rFonts w:ascii="Times New Roman" w:eastAsia="Times New Roman" w:hAnsi="Times New Roman" w:cs="Times New Roman"/>
          <w:i/>
          <w:sz w:val="24"/>
        </w:rPr>
        <w:t>Межрегиональное и приграничное сотрудничество: материалы международного сборника научных трудов / под ред. проф. В.П. Бабинцева</w:t>
      </w:r>
      <w:r>
        <w:rPr>
          <w:rFonts w:ascii="Times New Roman" w:eastAsia="Times New Roman" w:hAnsi="Times New Roman" w:cs="Times New Roman"/>
          <w:sz w:val="24"/>
        </w:rPr>
        <w:t xml:space="preserve">.  С. 169-171. </w:t>
      </w:r>
      <w:r>
        <w:t xml:space="preserve"> </w:t>
      </w:r>
    </w:p>
    <w:p w:rsidR="005E1E5C" w:rsidRDefault="005E1E5C" w:rsidP="005E1E5C">
      <w:pPr>
        <w:numPr>
          <w:ilvl w:val="0"/>
          <w:numId w:val="2"/>
        </w:numPr>
        <w:spacing w:after="75" w:line="251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Захаров В.М. 2014. Механизмы развития потенциала государственного и муниципального управления в регионе (по материалам Белгородской области). – </w:t>
      </w:r>
      <w:r>
        <w:rPr>
          <w:rFonts w:ascii="Times New Roman" w:eastAsia="Times New Roman" w:hAnsi="Times New Roman" w:cs="Times New Roman"/>
          <w:i/>
          <w:sz w:val="24"/>
        </w:rPr>
        <w:t>Среднерусский вестник общественных наук.</w:t>
      </w:r>
      <w:r>
        <w:rPr>
          <w:rFonts w:ascii="Times New Roman" w:eastAsia="Times New Roman" w:hAnsi="Times New Roman" w:cs="Times New Roman"/>
          <w:sz w:val="24"/>
        </w:rPr>
        <w:t xml:space="preserve"> № 2. С. 46-53. </w:t>
      </w:r>
      <w:r>
        <w:t xml:space="preserve"> </w:t>
      </w:r>
    </w:p>
    <w:p w:rsidR="005E1E5C" w:rsidRDefault="005E1E5C" w:rsidP="005E1E5C">
      <w:pPr>
        <w:numPr>
          <w:ilvl w:val="0"/>
          <w:numId w:val="2"/>
        </w:numPr>
        <w:spacing w:after="33" w:line="251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Гриценко А.А. 2010. Влияние политических и ландшафтных границ на региональную идентичность в российско-украинском порубежье: дисс. ... канд. географ. наук: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25.00.24. М. 2010. 169 с. </w:t>
      </w:r>
      <w:r>
        <w:t xml:space="preserve"> </w:t>
      </w:r>
    </w:p>
    <w:p w:rsidR="005E1E5C" w:rsidRDefault="005E1E5C" w:rsidP="005E1E5C">
      <w:pPr>
        <w:spacing w:after="13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E1E5C" w:rsidRDefault="005E1E5C" w:rsidP="005E1E5C">
      <w:pPr>
        <w:spacing w:after="6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References.</w:t>
      </w:r>
    </w:p>
    <w:p w:rsidR="005E1E5C" w:rsidRPr="00F81207" w:rsidRDefault="005E1E5C" w:rsidP="005E1E5C">
      <w:pPr>
        <w:numPr>
          <w:ilvl w:val="0"/>
          <w:numId w:val="3"/>
        </w:numPr>
        <w:spacing w:after="11" w:line="251" w:lineRule="auto"/>
        <w:ind w:right="147" w:firstLine="705"/>
        <w:jc w:val="both"/>
        <w:rPr>
          <w:lang w:val="en-US"/>
        </w:rPr>
      </w:pP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Kolosov V.A., 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>Vendina O.I. Rossijsko-Ukrainskoe pogranich'e: dvadcat' let razdelennogo edinstva</w:t>
      </w: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 [Russian-Ukrainian borderlands: twenty years of divided unity]. </w:t>
      </w:r>
      <w:r w:rsidRPr="00F81207">
        <w:rPr>
          <w:rFonts w:ascii="Times New Roman" w:eastAsia="Times New Roman" w:hAnsi="Times New Roman" w:cs="Times New Roman"/>
          <w:sz w:val="24"/>
          <w:lang w:val="en-US"/>
        </w:rPr>
        <w:t xml:space="preserve">Moscow: New chronograph. 2011. 352 p. (In Russ.). </w:t>
      </w:r>
      <w:r w:rsidRPr="00F81207">
        <w:rPr>
          <w:lang w:val="en-US"/>
        </w:rPr>
        <w:t xml:space="preserve"> </w:t>
      </w:r>
    </w:p>
    <w:p w:rsidR="005E1E5C" w:rsidRDefault="005E1E5C" w:rsidP="005E1E5C">
      <w:pPr>
        <w:numPr>
          <w:ilvl w:val="0"/>
          <w:numId w:val="3"/>
        </w:numPr>
        <w:spacing w:after="11" w:line="251" w:lineRule="auto"/>
        <w:ind w:right="147" w:firstLine="705"/>
        <w:jc w:val="both"/>
      </w:pPr>
      <w:r w:rsidRPr="00735B39">
        <w:rPr>
          <w:rFonts w:ascii="Times New Roman" w:eastAsia="Times New Roman" w:hAnsi="Times New Roman" w:cs="Times New Roman"/>
          <w:sz w:val="24"/>
          <w:lang w:val="en-US"/>
        </w:rPr>
        <w:t xml:space="preserve">Bubenko P.T., Sapryka V.A., Gajdukova G.N. Sociologicheskij analiz problem i perspektiv rossijsko-ukrainskogo prigranichnogo i mezhregional'nogo sotrudnichestva. – </w:t>
      </w:r>
      <w:r w:rsidRPr="00735B39">
        <w:rPr>
          <w:rFonts w:ascii="Times New Roman" w:eastAsia="Times New Roman" w:hAnsi="Times New Roman" w:cs="Times New Roman"/>
          <w:i/>
          <w:sz w:val="24"/>
          <w:lang w:val="en-US"/>
        </w:rPr>
        <w:t>Fundamental'nye issledovanija.</w:t>
      </w:r>
      <w:r w:rsidRPr="00735B3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2014.  № 6-5. P. 1078-1082. (In Russ.). </w:t>
      </w:r>
      <w:r>
        <w:t xml:space="preserve"> </w:t>
      </w:r>
    </w:p>
    <w:p w:rsidR="005E1E5C" w:rsidRPr="00350AD0" w:rsidRDefault="005E1E5C" w:rsidP="005E1E5C">
      <w:pPr>
        <w:pStyle w:val="a3"/>
        <w:numPr>
          <w:ilvl w:val="0"/>
          <w:numId w:val="3"/>
        </w:numPr>
        <w:spacing w:after="11" w:line="251" w:lineRule="auto"/>
        <w:ind w:right="147" w:firstLine="709"/>
        <w:jc w:val="both"/>
        <w:rPr>
          <w:lang w:val="en-US"/>
        </w:rPr>
      </w:pPr>
      <w:r w:rsidRPr="003F1F64">
        <w:rPr>
          <w:rFonts w:ascii="Times New Roman" w:eastAsia="Times New Roman" w:hAnsi="Times New Roman" w:cs="Times New Roman"/>
          <w:sz w:val="24"/>
          <w:lang w:val="en-US"/>
        </w:rPr>
        <w:t xml:space="preserve">Vardomskij L.B. Novye faktory prigranichnogo sotrudnichestva stran SNG. – </w:t>
      </w:r>
      <w:r w:rsidRPr="003F1F64">
        <w:rPr>
          <w:rFonts w:ascii="Times New Roman" w:eastAsia="Times New Roman" w:hAnsi="Times New Roman" w:cs="Times New Roman"/>
          <w:i/>
          <w:sz w:val="24"/>
          <w:lang w:val="en-US"/>
        </w:rPr>
        <w:t>Konkurentosposobnost' i modernizacija jekonomiki.</w:t>
      </w:r>
      <w:r w:rsidRPr="003F1F64">
        <w:rPr>
          <w:rFonts w:ascii="Times New Roman" w:eastAsia="Times New Roman" w:hAnsi="Times New Roman" w:cs="Times New Roman"/>
          <w:sz w:val="24"/>
          <w:lang w:val="en-US"/>
        </w:rPr>
        <w:t xml:space="preserve"> 2004. P. 263-274. (In Russ.). </w:t>
      </w:r>
      <w:r w:rsidRPr="003F1F64">
        <w:rPr>
          <w:lang w:val="en-US"/>
        </w:rPr>
        <w:t xml:space="preserve"> </w:t>
      </w:r>
    </w:p>
    <w:p w:rsidR="005E1E5C" w:rsidRPr="00940108" w:rsidRDefault="005E1E5C" w:rsidP="005E1E5C">
      <w:pPr>
        <w:pStyle w:val="a3"/>
        <w:numPr>
          <w:ilvl w:val="0"/>
          <w:numId w:val="3"/>
        </w:numPr>
        <w:spacing w:after="11" w:line="251" w:lineRule="auto"/>
        <w:ind w:right="147" w:firstLine="709"/>
        <w:jc w:val="both"/>
        <w:rPr>
          <w:lang w:val="en-US"/>
        </w:rPr>
      </w:pPr>
      <w:r w:rsidRPr="003F1F64">
        <w:rPr>
          <w:rFonts w:ascii="Times New Roman" w:eastAsia="Times New Roman" w:hAnsi="Times New Roman" w:cs="Times New Roman"/>
          <w:sz w:val="24"/>
          <w:lang w:val="en-US"/>
        </w:rPr>
        <w:t xml:space="preserve">Sapryka V.A. 2017. Sociokul'turnaja specifika transformacii modelej rossijskoukrainskogo prigranichnogo vzaimodejstvija v postsovetskom hronotope. - Jetnosocium i mezhnacional'naja kul'tura. № 1(103). S. 152-155. (In Russ.). </w:t>
      </w:r>
      <w:r w:rsidRPr="003F1F64">
        <w:rPr>
          <w:lang w:val="en-US"/>
        </w:rPr>
        <w:t xml:space="preserve"> </w:t>
      </w:r>
    </w:p>
    <w:p w:rsidR="005E1E5C" w:rsidRPr="00940108" w:rsidRDefault="005E1E5C" w:rsidP="005E1E5C">
      <w:pPr>
        <w:pStyle w:val="a3"/>
        <w:numPr>
          <w:ilvl w:val="0"/>
          <w:numId w:val="3"/>
        </w:numPr>
        <w:spacing w:after="11" w:line="251" w:lineRule="auto"/>
        <w:ind w:right="147" w:firstLine="709"/>
        <w:jc w:val="both"/>
        <w:rPr>
          <w:lang w:val="en-US"/>
        </w:rPr>
      </w:pP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Terner V. 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 xml:space="preserve">Simvol i ritual </w:t>
      </w: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[Symbol and Ritual]. </w:t>
      </w:r>
      <w:r>
        <w:rPr>
          <w:rFonts w:ascii="Times New Roman" w:eastAsia="Times New Roman" w:hAnsi="Times New Roman" w:cs="Times New Roman"/>
          <w:sz w:val="24"/>
        </w:rPr>
        <w:t>М</w:t>
      </w:r>
      <w:r w:rsidRPr="00653089">
        <w:rPr>
          <w:rFonts w:ascii="Times New Roman" w:eastAsia="Times New Roman" w:hAnsi="Times New Roman" w:cs="Times New Roman"/>
          <w:sz w:val="24"/>
          <w:lang w:val="en-US"/>
        </w:rPr>
        <w:t xml:space="preserve">oscow: Science. 1983. 277 p. (In </w:t>
      </w:r>
      <w:r w:rsidRPr="00653089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Russ.)</w:t>
      </w:r>
      <w:r w:rsidRPr="0094010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E1E5C" w:rsidRPr="00D04433" w:rsidRDefault="005E1E5C" w:rsidP="005E1E5C">
      <w:pPr>
        <w:pStyle w:val="a3"/>
        <w:numPr>
          <w:ilvl w:val="0"/>
          <w:numId w:val="3"/>
        </w:numPr>
        <w:spacing w:after="11" w:line="251" w:lineRule="auto"/>
        <w:ind w:right="147" w:firstLine="709"/>
        <w:jc w:val="both"/>
        <w:rPr>
          <w:lang w:val="en-US"/>
        </w:rPr>
      </w:pP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 w:rsidRPr="0051394C"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 w:rsidRPr="0051394C">
        <w:rPr>
          <w:rFonts w:ascii="Times New Roman" w:eastAsia="Times New Roman" w:hAnsi="Times New Roman" w:cs="Times New Roman"/>
          <w:sz w:val="24"/>
          <w:lang w:val="en-US"/>
        </w:rPr>
        <w:t xml:space="preserve"> Harmondsworth: Penguin Books. </w:t>
      </w:r>
      <w:r w:rsidRPr="00653089">
        <w:rPr>
          <w:rFonts w:ascii="Times New Roman" w:eastAsia="Times New Roman" w:hAnsi="Times New Roman" w:cs="Times New Roman"/>
          <w:sz w:val="24"/>
          <w:lang w:val="en-US"/>
        </w:rPr>
        <w:t>277 p.</w:t>
      </w:r>
    </w:p>
    <w:p w:rsidR="005E1E5C" w:rsidRPr="00940108" w:rsidRDefault="005E1E5C" w:rsidP="005E1E5C">
      <w:pPr>
        <w:pStyle w:val="a3"/>
        <w:numPr>
          <w:ilvl w:val="0"/>
          <w:numId w:val="3"/>
        </w:numPr>
        <w:spacing w:after="11" w:line="251" w:lineRule="auto"/>
        <w:ind w:right="147" w:firstLine="709"/>
        <w:jc w:val="both"/>
        <w:rPr>
          <w:lang w:val="en-US"/>
        </w:rPr>
      </w:pPr>
      <w:r w:rsidRPr="00940108">
        <w:rPr>
          <w:rFonts w:ascii="Times New Roman" w:eastAsia="Times New Roman" w:hAnsi="Times New Roman" w:cs="Times New Roman"/>
          <w:sz w:val="24"/>
          <w:lang w:val="en-US"/>
        </w:rPr>
        <w:t xml:space="preserve">Sapryka V.A. Model' prigranichnogo vzaimodejstvija kak social'nyj institut. - Mezhregional'noe i prigranichnoe sotrudnichestvo: materialy mezhdunarodnogo sbornika nauchnyh trudov / pod red. prof. V.P. Babinceva. – Belgorod: Konstanta. 2015b. S. 169-171. (In Russ.) </w:t>
      </w:r>
      <w:r w:rsidRPr="00940108">
        <w:rPr>
          <w:lang w:val="en-US"/>
        </w:rPr>
        <w:t xml:space="preserve"> </w:t>
      </w:r>
    </w:p>
    <w:p w:rsidR="005E1E5C" w:rsidRPr="00940108" w:rsidRDefault="005E1E5C" w:rsidP="005E1E5C">
      <w:pPr>
        <w:pStyle w:val="a3"/>
        <w:numPr>
          <w:ilvl w:val="0"/>
          <w:numId w:val="3"/>
        </w:numPr>
        <w:spacing w:after="11" w:line="251" w:lineRule="auto"/>
        <w:ind w:right="147" w:firstLine="709"/>
        <w:jc w:val="both"/>
        <w:rPr>
          <w:lang w:val="en-US"/>
        </w:rPr>
      </w:pPr>
      <w:r w:rsidRPr="00940108">
        <w:rPr>
          <w:rFonts w:ascii="Times New Roman" w:eastAsia="Times New Roman" w:hAnsi="Times New Roman" w:cs="Times New Roman"/>
          <w:sz w:val="24"/>
          <w:lang w:val="en-US"/>
        </w:rPr>
        <w:t xml:space="preserve">Zaharov V.M. 2014. Mehanizmy razvitija potenciala gosudarstvennogo i municipal'nogo upravlenija v regione (po materialam Belgorodskoj oblasti). – </w:t>
      </w:r>
      <w:r w:rsidRPr="00940108">
        <w:rPr>
          <w:rFonts w:ascii="Times New Roman" w:eastAsia="Times New Roman" w:hAnsi="Times New Roman" w:cs="Times New Roman"/>
          <w:i/>
          <w:sz w:val="24"/>
          <w:lang w:val="en-US"/>
        </w:rPr>
        <w:t>Srednerusskij vestnik obshhestvennyh nauk.</w:t>
      </w:r>
      <w:r w:rsidRPr="00940108">
        <w:rPr>
          <w:rFonts w:ascii="Times New Roman" w:eastAsia="Times New Roman" w:hAnsi="Times New Roman" w:cs="Times New Roman"/>
          <w:sz w:val="24"/>
          <w:lang w:val="en-US"/>
        </w:rPr>
        <w:t xml:space="preserve"> № 2. S. 46-53. </w:t>
      </w:r>
      <w:r w:rsidRPr="00940108">
        <w:rPr>
          <w:lang w:val="en-US"/>
        </w:rPr>
        <w:t xml:space="preserve"> </w:t>
      </w:r>
    </w:p>
    <w:p w:rsidR="005E1E5C" w:rsidRPr="00940108" w:rsidRDefault="005E1E5C" w:rsidP="005E1E5C">
      <w:pPr>
        <w:pStyle w:val="a3"/>
        <w:numPr>
          <w:ilvl w:val="0"/>
          <w:numId w:val="3"/>
        </w:numPr>
        <w:spacing w:after="154" w:line="251" w:lineRule="auto"/>
        <w:ind w:right="147" w:firstLine="709"/>
        <w:jc w:val="both"/>
        <w:rPr>
          <w:lang w:val="en-US"/>
        </w:rPr>
      </w:pPr>
      <w:r w:rsidRPr="00940108">
        <w:rPr>
          <w:rFonts w:ascii="Times New Roman" w:eastAsia="Times New Roman" w:hAnsi="Times New Roman" w:cs="Times New Roman"/>
          <w:sz w:val="24"/>
          <w:lang w:val="en-US"/>
        </w:rPr>
        <w:t>Gricenko A.A. 2010. Vlijanie politicheskih i landshaftnyh granic na regional'nuju identichnost' v rossijsko-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ukrainskom porubezh'e: diss. </w:t>
      </w:r>
      <w:r w:rsidRPr="00940108">
        <w:rPr>
          <w:rFonts w:ascii="Times New Roman" w:eastAsia="Times New Roman" w:hAnsi="Times New Roman" w:cs="Times New Roman"/>
          <w:sz w:val="24"/>
          <w:lang w:val="en-US"/>
        </w:rPr>
        <w:t xml:space="preserve"> kand. geograf. nauk: 25.00.24. M. 2010. 169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40108">
        <w:rPr>
          <w:rFonts w:ascii="Times New Roman" w:eastAsia="Times New Roman" w:hAnsi="Times New Roman" w:cs="Times New Roman"/>
          <w:sz w:val="24"/>
          <w:lang w:val="en-US"/>
        </w:rPr>
        <w:t xml:space="preserve">p. </w:t>
      </w:r>
      <w:r w:rsidRPr="0094010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5E1E5C" w:rsidRPr="005E1E5C" w:rsidRDefault="005E1E5C" w:rsidP="005E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1E5C" w:rsidRPr="005E1E5C" w:rsidSect="00D753FB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82" w:rsidRDefault="00005582" w:rsidP="00396F83">
      <w:pPr>
        <w:spacing w:after="0" w:line="240" w:lineRule="auto"/>
      </w:pPr>
      <w:r>
        <w:separator/>
      </w:r>
    </w:p>
  </w:endnote>
  <w:endnote w:type="continuationSeparator" w:id="0">
    <w:p w:rsidR="00005582" w:rsidRDefault="00005582" w:rsidP="0039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82" w:rsidRDefault="00005582" w:rsidP="00396F83">
      <w:pPr>
        <w:spacing w:after="0" w:line="240" w:lineRule="auto"/>
      </w:pPr>
      <w:r>
        <w:separator/>
      </w:r>
    </w:p>
  </w:footnote>
  <w:footnote w:type="continuationSeparator" w:id="0">
    <w:p w:rsidR="00005582" w:rsidRDefault="00005582" w:rsidP="0039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E46"/>
    <w:multiLevelType w:val="hybridMultilevel"/>
    <w:tmpl w:val="8BFE2D56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7D0A"/>
    <w:multiLevelType w:val="hybridMultilevel"/>
    <w:tmpl w:val="73F4F0E4"/>
    <w:lvl w:ilvl="0" w:tplc="E90882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0BA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495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95D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41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DD4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46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CB10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F80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E42C3"/>
    <w:multiLevelType w:val="hybridMultilevel"/>
    <w:tmpl w:val="F55A437C"/>
    <w:lvl w:ilvl="0" w:tplc="6C80D5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13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19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C24F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AE0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611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253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34E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D6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B7"/>
    <w:rsid w:val="000036FA"/>
    <w:rsid w:val="00005582"/>
    <w:rsid w:val="00045809"/>
    <w:rsid w:val="000C442B"/>
    <w:rsid w:val="0010707D"/>
    <w:rsid w:val="001562CA"/>
    <w:rsid w:val="00181D27"/>
    <w:rsid w:val="00190D32"/>
    <w:rsid w:val="001968B7"/>
    <w:rsid w:val="00196BDA"/>
    <w:rsid w:val="001A0483"/>
    <w:rsid w:val="001E0CD5"/>
    <w:rsid w:val="001F6A3D"/>
    <w:rsid w:val="00292839"/>
    <w:rsid w:val="002A59EE"/>
    <w:rsid w:val="002E53EF"/>
    <w:rsid w:val="00311359"/>
    <w:rsid w:val="00390434"/>
    <w:rsid w:val="00396F83"/>
    <w:rsid w:val="003E4609"/>
    <w:rsid w:val="00406E89"/>
    <w:rsid w:val="00417813"/>
    <w:rsid w:val="00426E77"/>
    <w:rsid w:val="00431B77"/>
    <w:rsid w:val="00443466"/>
    <w:rsid w:val="00445845"/>
    <w:rsid w:val="00446678"/>
    <w:rsid w:val="00471B8B"/>
    <w:rsid w:val="004C36C3"/>
    <w:rsid w:val="00527EFC"/>
    <w:rsid w:val="005339A2"/>
    <w:rsid w:val="00584B4C"/>
    <w:rsid w:val="005930E4"/>
    <w:rsid w:val="005B026C"/>
    <w:rsid w:val="005B78D5"/>
    <w:rsid w:val="005E1E5C"/>
    <w:rsid w:val="0062444F"/>
    <w:rsid w:val="00722ECE"/>
    <w:rsid w:val="00723AA5"/>
    <w:rsid w:val="007537AB"/>
    <w:rsid w:val="007806C9"/>
    <w:rsid w:val="007C7D30"/>
    <w:rsid w:val="0084779D"/>
    <w:rsid w:val="00851B29"/>
    <w:rsid w:val="00894F1F"/>
    <w:rsid w:val="009D400E"/>
    <w:rsid w:val="00A20C1E"/>
    <w:rsid w:val="00A50344"/>
    <w:rsid w:val="00AB0A7D"/>
    <w:rsid w:val="00AD72FA"/>
    <w:rsid w:val="00AF606E"/>
    <w:rsid w:val="00B61E51"/>
    <w:rsid w:val="00B87D75"/>
    <w:rsid w:val="00BB1574"/>
    <w:rsid w:val="00BE48EA"/>
    <w:rsid w:val="00C13098"/>
    <w:rsid w:val="00C2471B"/>
    <w:rsid w:val="00C77CF5"/>
    <w:rsid w:val="00CB58B6"/>
    <w:rsid w:val="00CE030B"/>
    <w:rsid w:val="00CE3C03"/>
    <w:rsid w:val="00CF51CE"/>
    <w:rsid w:val="00D7400E"/>
    <w:rsid w:val="00D753FB"/>
    <w:rsid w:val="00E42E4F"/>
    <w:rsid w:val="00E67FD7"/>
    <w:rsid w:val="00EA4CD9"/>
    <w:rsid w:val="00ED2AED"/>
    <w:rsid w:val="00EE3247"/>
    <w:rsid w:val="00EF2FC4"/>
    <w:rsid w:val="00F116DF"/>
    <w:rsid w:val="00F6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EEDB"/>
  <w15:docId w15:val="{0F59584E-C73C-4872-A12F-F7D4280E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FA"/>
    <w:rPr>
      <w:rFonts w:eastAsiaTheme="minorEastAsia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C4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EF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F83"/>
    <w:rPr>
      <w:rFonts w:eastAsiaTheme="minorEastAsia"/>
      <w:lang w:val="cs-CZ" w:eastAsia="cs-CZ"/>
    </w:rPr>
  </w:style>
  <w:style w:type="paragraph" w:styleId="a7">
    <w:name w:val="footer"/>
    <w:basedOn w:val="a"/>
    <w:link w:val="a8"/>
    <w:uiPriority w:val="99"/>
    <w:semiHidden/>
    <w:unhideWhenUsed/>
    <w:rsid w:val="0039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F83"/>
    <w:rPr>
      <w:rFonts w:eastAsiaTheme="minorEastAsia"/>
      <w:lang w:val="cs-CZ" w:eastAsia="cs-CZ"/>
    </w:rPr>
  </w:style>
  <w:style w:type="character" w:styleId="a9">
    <w:name w:val="Strong"/>
    <w:basedOn w:val="a0"/>
    <w:uiPriority w:val="22"/>
    <w:qFormat/>
    <w:rsid w:val="00AB0A7D"/>
    <w:rPr>
      <w:b/>
      <w:bCs/>
    </w:rPr>
  </w:style>
  <w:style w:type="character" w:customStyle="1" w:styleId="apple-converted-space">
    <w:name w:val="apple-converted-space"/>
    <w:basedOn w:val="a0"/>
    <w:rsid w:val="000036FA"/>
  </w:style>
  <w:style w:type="paragraph" w:styleId="aa">
    <w:name w:val="Normal (Web)"/>
    <w:basedOn w:val="a"/>
    <w:uiPriority w:val="99"/>
    <w:semiHidden/>
    <w:unhideWhenUsed/>
    <w:rsid w:val="005E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5E1E5C"/>
    <w:rPr>
      <w:i/>
      <w:iCs/>
    </w:rPr>
  </w:style>
  <w:style w:type="character" w:styleId="ac">
    <w:name w:val="Hyperlink"/>
    <w:basedOn w:val="a0"/>
    <w:uiPriority w:val="99"/>
    <w:semiHidden/>
    <w:unhideWhenUsed/>
    <w:rsid w:val="005E1E5C"/>
    <w:rPr>
      <w:color w:val="0000FF"/>
      <w:u w:val="single"/>
    </w:rPr>
  </w:style>
  <w:style w:type="character" w:customStyle="1" w:styleId="wmi-callto">
    <w:name w:val="wmi-callto"/>
    <w:basedOn w:val="a0"/>
    <w:rsid w:val="005E1E5C"/>
  </w:style>
  <w:style w:type="paragraph" w:styleId="ad">
    <w:name w:val="No Spacing"/>
    <w:uiPriority w:val="1"/>
    <w:qFormat/>
    <w:rsid w:val="005E1E5C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g@icbci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2021-04-22T11:00:00Z</dcterms:created>
  <dcterms:modified xsi:type="dcterms:W3CDTF">2021-04-22T11:00:00Z</dcterms:modified>
</cp:coreProperties>
</file>